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15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15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6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FORM 8-K</w:t>
      </w:r>
    </w:p>
    <w:p>
      <w:pPr>
        <w:spacing w:after="0" w:line="15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5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90" w:lineRule="exact"/>
        <w:rPr>
          <w:sz w:val="24"/>
          <w:szCs w:val="24"/>
          <w:color w:val="auto"/>
        </w:rPr>
      </w:pPr>
    </w:p>
    <w:tbl>
      <w:tblPr>
        <w:tblLayout w:type="fixed"/>
        <w:tblInd w:w="2008" w:type="dxa"/>
        <w:tblCellMar>
          <w:top w:w="0" w:type="dxa"/>
          <w:left w:w="0" w:type="dxa"/>
          <w:bottom w:w="0" w:type="dxa"/>
          <w:right w:w="0" w:type="dxa"/>
        </w:tblCellMar>
      </w:tblPr>
      <w:tr>
        <w:trPr>
          <w:trHeight w:val="173"/>
        </w:trPr>
        <w:tc>
          <w:tcPr>
            <w:tcW w:w="2320" w:type="dxa"/>
            <w:vAlign w:val="bottom"/>
          </w:tcPr>
          <w:p>
            <w:pPr>
              <w:spacing w:after="0"/>
              <w:rPr>
                <w:sz w:val="20"/>
                <w:szCs w:val="20"/>
                <w:color w:val="auto"/>
              </w:rPr>
            </w:pPr>
            <w:r>
              <w:rPr>
                <w:rFonts w:ascii="Times New Roman" w:cs="Times New Roman" w:eastAsia="Times New Roman" w:hAnsi="Times New Roman"/>
                <w:sz w:val="12"/>
                <w:szCs w:val="12"/>
                <w:color w:val="auto"/>
                <w:w w:val="99"/>
              </w:rPr>
              <w:t>Date of Report (Date of earliest event reported):</w:t>
            </w:r>
          </w:p>
        </w:tc>
        <w:tc>
          <w:tcPr>
            <w:tcW w:w="24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2"/>
                <w:szCs w:val="12"/>
                <w:color w:val="auto"/>
              </w:rPr>
              <w:t>May 12, 2026</w:t>
            </w:r>
          </w:p>
        </w:tc>
      </w:tr>
    </w:tbl>
    <w:p>
      <w:pPr>
        <w:spacing w:after="0" w:line="38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JAMES RIVER GROUP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5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375" w:lineRule="exact"/>
        <w:rPr>
          <w:sz w:val="24"/>
          <w:szCs w:val="24"/>
          <w:color w:val="auto"/>
        </w:rPr>
      </w:pPr>
    </w:p>
    <w:tbl>
      <w:tblPr>
        <w:tblLayout w:type="fixed"/>
        <w:tblInd w:w="8" w:type="dxa"/>
        <w:tblCellMar>
          <w:top w:w="0" w:type="dxa"/>
          <w:left w:w="0" w:type="dxa"/>
          <w:bottom w:w="0" w:type="dxa"/>
          <w:right w:w="0" w:type="dxa"/>
        </w:tblCellMar>
      </w:tblPr>
      <w:tr>
        <w:trPr>
          <w:trHeight w:val="155"/>
        </w:trPr>
        <w:tc>
          <w:tcPr>
            <w:tcW w:w="3460" w:type="dxa"/>
            <w:vAlign w:val="bottom"/>
            <w:tcBorders>
              <w:bottom w:val="single" w:sz="8" w:color="auto"/>
            </w:tcBorders>
          </w:tcPr>
          <w:p>
            <w:pPr>
              <w:jc w:val="center"/>
              <w:ind w:left="260"/>
              <w:spacing w:after="0"/>
              <w:rPr>
                <w:sz w:val="20"/>
                <w:szCs w:val="20"/>
                <w:color w:val="auto"/>
              </w:rPr>
            </w:pPr>
            <w:r>
              <w:rPr>
                <w:rFonts w:ascii="Times New Roman" w:cs="Times New Roman" w:eastAsia="Times New Roman" w:hAnsi="Times New Roman"/>
                <w:sz w:val="12"/>
                <w:szCs w:val="12"/>
                <w:color w:val="auto"/>
                <w:w w:val="99"/>
              </w:rPr>
              <w:t>Delaware</w:t>
            </w:r>
          </w:p>
        </w:tc>
        <w:tc>
          <w:tcPr>
            <w:tcW w:w="44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color w:val="auto"/>
                <w:w w:val="99"/>
              </w:rPr>
              <w:t>001-36777</w:t>
            </w:r>
          </w:p>
        </w:tc>
        <w:tc>
          <w:tcPr>
            <w:tcW w:w="3360" w:type="dxa"/>
            <w:vAlign w:val="bottom"/>
            <w:tcBorders>
              <w:bottom w:val="single" w:sz="8" w:color="auto"/>
            </w:tcBorders>
          </w:tcPr>
          <w:p>
            <w:pPr>
              <w:jc w:val="right"/>
              <w:ind w:right="1560"/>
              <w:spacing w:after="0"/>
              <w:rPr>
                <w:sz w:val="20"/>
                <w:szCs w:val="20"/>
                <w:color w:val="auto"/>
              </w:rPr>
            </w:pPr>
            <w:r>
              <w:rPr>
                <w:rFonts w:ascii="Times New Roman" w:cs="Times New Roman" w:eastAsia="Times New Roman" w:hAnsi="Times New Roman"/>
                <w:sz w:val="12"/>
                <w:szCs w:val="12"/>
                <w:color w:val="auto"/>
              </w:rPr>
              <w:t>98-0585280</w:t>
            </w:r>
          </w:p>
        </w:tc>
      </w:tr>
      <w:tr>
        <w:trPr>
          <w:trHeight w:val="153"/>
        </w:trPr>
        <w:tc>
          <w:tcPr>
            <w:tcW w:w="3460" w:type="dxa"/>
            <w:vAlign w:val="bottom"/>
          </w:tcPr>
          <w:p>
            <w:pPr>
              <w:jc w:val="center"/>
              <w:ind w:left="260"/>
              <w:spacing w:after="0"/>
              <w:rPr>
                <w:sz w:val="20"/>
                <w:szCs w:val="20"/>
                <w:color w:val="auto"/>
              </w:rPr>
            </w:pPr>
            <w:r>
              <w:rPr>
                <w:rFonts w:ascii="Times New Roman" w:cs="Times New Roman" w:eastAsia="Times New Roman" w:hAnsi="Times New Roman"/>
                <w:sz w:val="12"/>
                <w:szCs w:val="12"/>
                <w:color w:val="auto"/>
                <w:w w:val="99"/>
              </w:rPr>
              <w:t>(State or other jurisdiction of incorporation)</w:t>
            </w:r>
          </w:p>
        </w:tc>
        <w:tc>
          <w:tcPr>
            <w:tcW w:w="448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(Commission File Number)</w:t>
            </w:r>
          </w:p>
        </w:tc>
        <w:tc>
          <w:tcPr>
            <w:tcW w:w="3360" w:type="dxa"/>
            <w:vAlign w:val="bottom"/>
          </w:tcPr>
          <w:p>
            <w:pPr>
              <w:jc w:val="center"/>
              <w:ind w:right="380"/>
              <w:spacing w:after="0"/>
              <w:rPr>
                <w:sz w:val="20"/>
                <w:szCs w:val="20"/>
                <w:color w:val="auto"/>
              </w:rPr>
            </w:pPr>
            <w:r>
              <w:rPr>
                <w:rFonts w:ascii="Times New Roman" w:cs="Times New Roman" w:eastAsia="Times New Roman" w:hAnsi="Times New Roman"/>
                <w:sz w:val="12"/>
                <w:szCs w:val="12"/>
                <w:color w:val="auto"/>
                <w:w w:val="99"/>
              </w:rPr>
              <w:t>(IRS Employer Identification No.)</w:t>
            </w:r>
          </w:p>
        </w:tc>
      </w:tr>
      <w:tr>
        <w:trPr>
          <w:trHeight w:val="334"/>
        </w:trPr>
        <w:tc>
          <w:tcPr>
            <w:tcW w:w="3460" w:type="dxa"/>
            <w:vAlign w:val="bottom"/>
          </w:tcPr>
          <w:p>
            <w:pPr>
              <w:spacing w:after="0"/>
              <w:rPr>
                <w:sz w:val="24"/>
                <w:szCs w:val="24"/>
                <w:color w:val="auto"/>
              </w:rPr>
            </w:pPr>
          </w:p>
        </w:tc>
        <w:tc>
          <w:tcPr>
            <w:tcW w:w="448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1414 Raleigh Road, Suite 405, Chapel Hill, North Carolina, 27517</w:t>
            </w:r>
          </w:p>
        </w:tc>
        <w:tc>
          <w:tcPr>
            <w:tcW w:w="3360" w:type="dxa"/>
            <w:vAlign w:val="bottom"/>
          </w:tcPr>
          <w:p>
            <w:pPr>
              <w:spacing w:after="0"/>
              <w:rPr>
                <w:sz w:val="24"/>
                <w:szCs w:val="24"/>
                <w:color w:val="auto"/>
              </w:rPr>
            </w:pPr>
          </w:p>
        </w:tc>
      </w:tr>
      <w:tr>
        <w:trPr>
          <w:trHeight w:val="144"/>
        </w:trPr>
        <w:tc>
          <w:tcPr>
            <w:tcW w:w="3460" w:type="dxa"/>
            <w:vAlign w:val="bottom"/>
          </w:tcPr>
          <w:p>
            <w:pPr>
              <w:spacing w:after="0"/>
              <w:rPr>
                <w:sz w:val="12"/>
                <w:szCs w:val="12"/>
                <w:color w:val="auto"/>
              </w:rPr>
            </w:pPr>
          </w:p>
        </w:tc>
        <w:tc>
          <w:tcPr>
            <w:tcW w:w="448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(Address of principal executive offices)</w:t>
            </w:r>
          </w:p>
        </w:tc>
        <w:tc>
          <w:tcPr>
            <w:tcW w:w="3360" w:type="dxa"/>
            <w:vAlign w:val="bottom"/>
          </w:tcPr>
          <w:p>
            <w:pPr>
              <w:spacing w:after="0"/>
              <w:rPr>
                <w:sz w:val="12"/>
                <w:szCs w:val="12"/>
                <w:color w:val="auto"/>
              </w:rPr>
            </w:pPr>
          </w:p>
        </w:tc>
      </w:tr>
      <w:tr>
        <w:trPr>
          <w:trHeight w:val="159"/>
        </w:trPr>
        <w:tc>
          <w:tcPr>
            <w:tcW w:w="3460" w:type="dxa"/>
            <w:vAlign w:val="bottom"/>
          </w:tcPr>
          <w:p>
            <w:pPr>
              <w:spacing w:after="0"/>
              <w:rPr>
                <w:sz w:val="13"/>
                <w:szCs w:val="13"/>
                <w:color w:val="auto"/>
              </w:rPr>
            </w:pPr>
          </w:p>
        </w:tc>
        <w:tc>
          <w:tcPr>
            <w:tcW w:w="448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(Zip Code)</w:t>
            </w:r>
          </w:p>
        </w:tc>
        <w:tc>
          <w:tcPr>
            <w:tcW w:w="3360" w:type="dxa"/>
            <w:vAlign w:val="bottom"/>
          </w:tcPr>
          <w:p>
            <w:pPr>
              <w:spacing w:after="0"/>
              <w:rPr>
                <w:sz w:val="13"/>
                <w:szCs w:val="13"/>
                <w:color w:val="auto"/>
              </w:rPr>
            </w:pPr>
          </w:p>
        </w:tc>
      </w:tr>
      <w:tr>
        <w:trPr>
          <w:trHeight w:val="165"/>
        </w:trPr>
        <w:tc>
          <w:tcPr>
            <w:tcW w:w="3460" w:type="dxa"/>
            <w:vAlign w:val="bottom"/>
          </w:tcPr>
          <w:p>
            <w:pPr>
              <w:spacing w:after="0"/>
              <w:rPr>
                <w:sz w:val="14"/>
                <w:szCs w:val="14"/>
                <w:color w:val="auto"/>
              </w:rPr>
            </w:pPr>
          </w:p>
        </w:tc>
        <w:tc>
          <w:tcPr>
            <w:tcW w:w="448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(919) 900-1200</w:t>
            </w:r>
          </w:p>
        </w:tc>
        <w:tc>
          <w:tcPr>
            <w:tcW w:w="3360" w:type="dxa"/>
            <w:vAlign w:val="bottom"/>
          </w:tcPr>
          <w:p>
            <w:pPr>
              <w:spacing w:after="0"/>
              <w:rPr>
                <w:sz w:val="14"/>
                <w:szCs w:val="14"/>
                <w:color w:val="auto"/>
              </w:rPr>
            </w:pPr>
          </w:p>
        </w:tc>
      </w:tr>
      <w:tr>
        <w:trPr>
          <w:trHeight w:val="159"/>
        </w:trPr>
        <w:tc>
          <w:tcPr>
            <w:tcW w:w="3460" w:type="dxa"/>
            <w:vAlign w:val="bottom"/>
          </w:tcPr>
          <w:p>
            <w:pPr>
              <w:spacing w:after="0"/>
              <w:rPr>
                <w:sz w:val="13"/>
                <w:szCs w:val="13"/>
                <w:color w:val="auto"/>
              </w:rPr>
            </w:pPr>
          </w:p>
        </w:tc>
        <w:tc>
          <w:tcPr>
            <w:tcW w:w="448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(Registrant</w:t>
            </w:r>
            <w:r>
              <w:rPr>
                <w:rFonts w:ascii="Times New Roman" w:cs="Times New Roman" w:eastAsia="Times New Roman" w:hAnsi="Times New Roman"/>
                <w:sz w:val="12"/>
                <w:szCs w:val="12"/>
                <w:color w:val="auto"/>
                <w:w w:val="99"/>
              </w:rPr>
              <w:t>'</w:t>
            </w:r>
            <w:r>
              <w:rPr>
                <w:rFonts w:ascii="Times New Roman" w:cs="Times New Roman" w:eastAsia="Times New Roman" w:hAnsi="Times New Roman"/>
                <w:sz w:val="12"/>
                <w:szCs w:val="12"/>
                <w:b w:val="1"/>
                <w:bCs w:val="1"/>
                <w:color w:val="auto"/>
                <w:w w:val="99"/>
              </w:rPr>
              <w:t>s telephone number, including area code)</w:t>
            </w:r>
          </w:p>
        </w:tc>
        <w:tc>
          <w:tcPr>
            <w:tcW w:w="3360" w:type="dxa"/>
            <w:vAlign w:val="bottom"/>
          </w:tcPr>
          <w:p>
            <w:pPr>
              <w:spacing w:after="0"/>
              <w:rPr>
                <w:sz w:val="13"/>
                <w:szCs w:val="13"/>
                <w:color w:val="auto"/>
              </w:rPr>
            </w:pPr>
          </w:p>
        </w:tc>
      </w:tr>
      <w:tr>
        <w:trPr>
          <w:trHeight w:val="396"/>
        </w:trPr>
        <w:tc>
          <w:tcPr>
            <w:tcW w:w="346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r>
        <w:trPr>
          <w:trHeight w:val="153"/>
        </w:trPr>
        <w:tc>
          <w:tcPr>
            <w:tcW w:w="3460" w:type="dxa"/>
            <w:vAlign w:val="bottom"/>
          </w:tcPr>
          <w:p>
            <w:pPr>
              <w:spacing w:after="0"/>
              <w:rPr>
                <w:sz w:val="13"/>
                <w:szCs w:val="13"/>
                <w:color w:val="auto"/>
              </w:rPr>
            </w:pPr>
          </w:p>
        </w:tc>
        <w:tc>
          <w:tcPr>
            <w:tcW w:w="448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9"/>
              </w:rPr>
              <w:t>(Former name or former address, if changed since last report.)</w:t>
            </w:r>
          </w:p>
        </w:tc>
        <w:tc>
          <w:tcPr>
            <w:tcW w:w="3360" w:type="dxa"/>
            <w:vAlign w:val="bottom"/>
          </w:tcPr>
          <w:p>
            <w:pPr>
              <w:spacing w:after="0"/>
              <w:rPr>
                <w:sz w:val="13"/>
                <w:szCs w:val="13"/>
                <w:color w:val="auto"/>
              </w:rPr>
            </w:pPr>
          </w:p>
        </w:tc>
      </w:tr>
    </w:tbl>
    <w:p>
      <w:pPr>
        <w:spacing w:after="0" w:line="301"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Check the appropriate box below if the Form 8</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K filing is intended to simultaneously satisfy the filing obligation of the registrant under any of the following provisions (see General Instruction A.2 below):</w:t>
      </w:r>
    </w:p>
    <w:p>
      <w:pPr>
        <w:spacing w:after="0" w:line="205" w:lineRule="exact"/>
        <w:rPr>
          <w:sz w:val="24"/>
          <w:szCs w:val="24"/>
          <w:color w:val="auto"/>
        </w:rPr>
      </w:pPr>
    </w:p>
    <w:p>
      <w:pPr>
        <w:ind w:left="248" w:hanging="248"/>
        <w:spacing w:after="0"/>
        <w:tabs>
          <w:tab w:leader="none" w:pos="248"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38" w:lineRule="exact"/>
        <w:rPr>
          <w:rFonts w:ascii="MS PGothic" w:cs="MS PGothic" w:eastAsia="MS PGothic" w:hAnsi="MS PGothic"/>
          <w:sz w:val="14"/>
          <w:szCs w:val="14"/>
          <w:color w:val="auto"/>
          <w:highlight w:val="black"/>
        </w:rPr>
      </w:pPr>
    </w:p>
    <w:p>
      <w:pPr>
        <w:ind w:left="248" w:hanging="248"/>
        <w:spacing w:after="0" w:line="147" w:lineRule="exact"/>
        <w:tabs>
          <w:tab w:leader="none" w:pos="248"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2"/>
          <w:szCs w:val="12"/>
          <w:color w:val="auto"/>
        </w:rPr>
        <w:t>Soliciting material pursuant to Rule 14a</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12 under the Exchange Act (17 CFR 240.14a</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12)</w:t>
      </w:r>
    </w:p>
    <w:p>
      <w:pPr>
        <w:spacing w:after="0" w:line="31" w:lineRule="exact"/>
        <w:rPr>
          <w:rFonts w:ascii="MS PGothic" w:cs="MS PGothic" w:eastAsia="MS PGothic" w:hAnsi="MS PGothic"/>
          <w:sz w:val="14"/>
          <w:szCs w:val="14"/>
          <w:color w:val="auto"/>
          <w:highlight w:val="black"/>
        </w:rPr>
      </w:pPr>
    </w:p>
    <w:p>
      <w:pPr>
        <w:ind w:left="248" w:hanging="248"/>
        <w:spacing w:after="0" w:line="147" w:lineRule="exact"/>
        <w:tabs>
          <w:tab w:leader="none" w:pos="248"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2"/>
          <w:szCs w:val="12"/>
          <w:color w:val="auto"/>
        </w:rPr>
        <w:t>Pre-commencement communications pursuant to Rule 14d</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2(b) under the Exchange Act (17 CFR 240.14d</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2(b))</w:t>
      </w:r>
    </w:p>
    <w:p>
      <w:pPr>
        <w:spacing w:after="0" w:line="24" w:lineRule="exact"/>
        <w:rPr>
          <w:rFonts w:ascii="MS PGothic" w:cs="MS PGothic" w:eastAsia="MS PGothic" w:hAnsi="MS PGothic"/>
          <w:sz w:val="14"/>
          <w:szCs w:val="14"/>
          <w:color w:val="auto"/>
          <w:highlight w:val="black"/>
        </w:rPr>
      </w:pPr>
    </w:p>
    <w:p>
      <w:pPr>
        <w:ind w:left="248" w:hanging="248"/>
        <w:spacing w:after="0" w:line="147" w:lineRule="exact"/>
        <w:tabs>
          <w:tab w:leader="none" w:pos="248"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2"/>
          <w:szCs w:val="12"/>
          <w:color w:val="auto"/>
        </w:rPr>
        <w:t>Pre-commencement communications pursuant to Rule 13e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4(c) under the Exchange Act (17 CFR 240.13e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4(c))</w:t>
      </w:r>
    </w:p>
    <w:p>
      <w:pPr>
        <w:spacing w:after="0" w:line="130" w:lineRule="exact"/>
        <w:rPr>
          <w:sz w:val="24"/>
          <w:szCs w:val="24"/>
          <w:color w:val="auto"/>
        </w:rPr>
      </w:pPr>
    </w:p>
    <w:tbl>
      <w:tblPr>
        <w:tblLayout w:type="fixed"/>
        <w:tblInd w:w="8" w:type="dxa"/>
        <w:tblCellMar>
          <w:top w:w="0" w:type="dxa"/>
          <w:left w:w="0" w:type="dxa"/>
          <w:bottom w:w="0" w:type="dxa"/>
          <w:right w:w="0" w:type="dxa"/>
        </w:tblCellMar>
      </w:tblPr>
      <w:tr>
        <w:trPr>
          <w:trHeight w:val="155"/>
        </w:trPr>
        <w:tc>
          <w:tcPr>
            <w:tcW w:w="44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120" w:type="dxa"/>
            <w:vAlign w:val="bottom"/>
          </w:tcPr>
          <w:p>
            <w:pPr>
              <w:spacing w:after="0"/>
              <w:rPr>
                <w:sz w:val="13"/>
                <w:szCs w:val="13"/>
                <w:color w:val="auto"/>
              </w:rPr>
            </w:pPr>
          </w:p>
        </w:tc>
      </w:tr>
      <w:tr>
        <w:trPr>
          <w:trHeight w:val="225"/>
        </w:trPr>
        <w:tc>
          <w:tcPr>
            <w:tcW w:w="2000" w:type="dxa"/>
            <w:vAlign w:val="bottom"/>
          </w:tcPr>
          <w:p>
            <w:pPr>
              <w:spacing w:after="0"/>
              <w:rPr>
                <w:sz w:val="19"/>
                <w:szCs w:val="19"/>
                <w:color w:val="auto"/>
              </w:rPr>
            </w:pPr>
          </w:p>
        </w:tc>
        <w:tc>
          <w:tcPr>
            <w:tcW w:w="2460" w:type="dxa"/>
            <w:vAlign w:val="bottom"/>
            <w:gridSpan w:val="2"/>
          </w:tcPr>
          <w:p>
            <w:pPr>
              <w:jc w:val="center"/>
              <w:ind w:right="1600"/>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3560" w:type="dxa"/>
            <w:vAlign w:val="bottom"/>
            <w:gridSpan w:val="3"/>
          </w:tcPr>
          <w:p>
            <w:pPr>
              <w:jc w:val="center"/>
              <w:ind w:right="740"/>
              <w:spacing w:after="0"/>
              <w:rPr>
                <w:sz w:val="20"/>
                <w:szCs w:val="20"/>
                <w:color w:val="auto"/>
              </w:rPr>
            </w:pPr>
            <w:r>
              <w:rPr>
                <w:rFonts w:ascii="Times New Roman" w:cs="Times New Roman" w:eastAsia="Times New Roman" w:hAnsi="Times New Roman"/>
                <w:sz w:val="12"/>
                <w:szCs w:val="12"/>
                <w:color w:val="auto"/>
                <w:w w:val="98"/>
              </w:rPr>
              <w:t>Trading Symbol(s)</w:t>
            </w:r>
          </w:p>
        </w:tc>
        <w:tc>
          <w:tcPr>
            <w:tcW w:w="2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20"/>
        </w:trPr>
        <w:tc>
          <w:tcPr>
            <w:tcW w:w="20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r>
      <w:tr>
        <w:trPr>
          <w:trHeight w:val="160"/>
        </w:trPr>
        <w:tc>
          <w:tcPr>
            <w:tcW w:w="4460" w:type="dxa"/>
            <w:vAlign w:val="bottom"/>
            <w:gridSpan w:val="3"/>
          </w:tcPr>
          <w:p>
            <w:pPr>
              <w:jc w:val="center"/>
              <w:ind w:left="340"/>
              <w:spacing w:after="0"/>
              <w:rPr>
                <w:sz w:val="20"/>
                <w:szCs w:val="20"/>
                <w:color w:val="auto"/>
              </w:rPr>
            </w:pPr>
            <w:r>
              <w:rPr>
                <w:rFonts w:ascii="Times New Roman" w:cs="Times New Roman" w:eastAsia="Times New Roman" w:hAnsi="Times New Roman"/>
                <w:sz w:val="12"/>
                <w:szCs w:val="12"/>
                <w:color w:val="auto"/>
                <w:w w:val="99"/>
              </w:rPr>
              <w:t>Common Stock, par value $0.0002 per share</w:t>
            </w:r>
          </w:p>
        </w:tc>
        <w:tc>
          <w:tcPr>
            <w:tcW w:w="960" w:type="dxa"/>
            <w:vAlign w:val="bottom"/>
          </w:tcPr>
          <w:p>
            <w:pPr>
              <w:spacing w:after="0"/>
              <w:rPr>
                <w:sz w:val="13"/>
                <w:szCs w:val="13"/>
                <w:color w:val="auto"/>
              </w:rPr>
            </w:pPr>
          </w:p>
        </w:tc>
        <w:tc>
          <w:tcPr>
            <w:tcW w:w="2600" w:type="dxa"/>
            <w:vAlign w:val="bottom"/>
            <w:gridSpan w:val="2"/>
          </w:tcPr>
          <w:p>
            <w:pPr>
              <w:jc w:val="center"/>
              <w:ind w:right="1680"/>
              <w:spacing w:after="0"/>
              <w:rPr>
                <w:sz w:val="20"/>
                <w:szCs w:val="20"/>
                <w:color w:val="auto"/>
              </w:rPr>
            </w:pPr>
            <w:r>
              <w:rPr>
                <w:rFonts w:ascii="Times New Roman" w:cs="Times New Roman" w:eastAsia="Times New Roman" w:hAnsi="Times New Roman"/>
                <w:sz w:val="12"/>
                <w:szCs w:val="12"/>
                <w:color w:val="auto"/>
                <w:w w:val="95"/>
              </w:rPr>
              <w:t>JRVR</w:t>
            </w:r>
          </w:p>
        </w:tc>
        <w:tc>
          <w:tcPr>
            <w:tcW w:w="21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NASDAQ Global Select Market</w:t>
            </w:r>
          </w:p>
        </w:tc>
      </w:tr>
    </w:tbl>
    <w:p>
      <w:pPr>
        <w:spacing w:after="0" w:line="196" w:lineRule="exact"/>
        <w:rPr>
          <w:sz w:val="24"/>
          <w:szCs w:val="24"/>
          <w:color w:val="auto"/>
        </w:rPr>
      </w:pPr>
    </w:p>
    <w:p>
      <w:pPr>
        <w:ind w:left="8" w:right="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1" w:lineRule="exact"/>
        <w:rPr>
          <w:sz w:val="24"/>
          <w:szCs w:val="24"/>
          <w:color w:val="auto"/>
        </w:rPr>
      </w:pPr>
    </w:p>
    <w:p>
      <w:pPr>
        <w:ind w:left="8"/>
        <w:spacing w:after="0" w:line="141" w:lineRule="exact"/>
        <w:tabs>
          <w:tab w:leader="none" w:pos="1408" w:val="left"/>
        </w:tabs>
        <w:rPr>
          <w:sz w:val="20"/>
          <w:szCs w:val="20"/>
          <w:color w:val="auto"/>
        </w:rPr>
      </w:pPr>
      <w:r>
        <w:rPr>
          <w:rFonts w:ascii="Times New Roman" w:cs="Times New Roman" w:eastAsia="Times New Roman" w:hAnsi="Times New Roman"/>
          <w:sz w:val="12"/>
          <w:szCs w:val="12"/>
          <w:color w:val="auto"/>
        </w:rPr>
        <w:t>Emerging growth company</w:t>
      </w:r>
      <w:r>
        <w:rPr>
          <w:sz w:val="20"/>
          <w:szCs w:val="20"/>
          <w:color w:val="auto"/>
        </w:rPr>
        <w:tab/>
      </w:r>
      <w:r>
        <w:rPr>
          <w:rFonts w:ascii="MS PGothic" w:cs="MS PGothic" w:eastAsia="MS PGothic" w:hAnsi="MS PGothic"/>
          <w:sz w:val="14"/>
          <w:szCs w:val="14"/>
          <w:color w:val="auto"/>
          <w:highlight w:val="black"/>
        </w:rPr>
        <w:t>☐</w:t>
      </w:r>
    </w:p>
    <w:p>
      <w:pPr>
        <w:spacing w:after="0" w:line="205" w:lineRule="exact"/>
        <w:rPr>
          <w:sz w:val="24"/>
          <w:szCs w:val="24"/>
          <w:color w:val="auto"/>
        </w:rPr>
      </w:pPr>
    </w:p>
    <w:p>
      <w:pPr>
        <w:ind w:left="8" w:right="20"/>
        <w:spacing w:after="0" w:line="178"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294640</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32" w:right="299" w:bottom="1440" w:gutter="0" w:footer="0" w:header="0"/>
        </w:sectPr>
      </w:pPr>
    </w:p>
    <w:bookmarkStart w:id="1" w:name="page2"/>
    <w:bookmarkEnd w:id="1"/>
    <w:p>
      <w:pPr>
        <w:spacing w:after="0"/>
        <w:tabs>
          <w:tab w:leader="none" w:pos="124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45"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James River Group Holdings, Inc. (the “Company”) is furnishing a copy of its first quarter 2026 investor presentation as Exhibit 99.1 to this Current Report on Form 8-K (this “Form 8-K”). The Company intends to use the investor presentation from time to time in meetings with investors and analysts. The presentation will also be posted on the investor relations portion of the Company’s website.</w:t>
      </w:r>
    </w:p>
    <w:p>
      <w:pPr>
        <w:spacing w:after="0" w:line="11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 information provided pursuant to this Item 7.01, including Exhibit 99.1 in Item 9.01, is “furnished” and shall not be deemed to be “filed” with the Securities and Exchange Commission or incorporated by reference in any filing under the Securities Exchange Act of 1934, as amended, or the Securities Act of 1933, as amended, except as shall be expressly set forth by specific reference in any such filings.</w:t>
      </w:r>
    </w:p>
    <w:p>
      <w:pPr>
        <w:spacing w:after="0" w:line="13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Exhibit is furnished as a part of this Form 8-K:</w:t>
      </w:r>
    </w:p>
    <w:p>
      <w:pPr>
        <w:sectPr>
          <w:pgSz w:w="11900" w:h="16838" w:orient="portrait"/>
          <w:cols w:equalWidth="0" w:num="1">
            <w:col w:w="11060"/>
          </w:cols>
          <w:pgMar w:left="300" w:top="665" w:right="539" w:bottom="1440" w:gutter="0" w:footer="0" w:header="0"/>
        </w:sectPr>
      </w:pPr>
    </w:p>
    <w:p>
      <w:pPr>
        <w:spacing w:after="0" w:line="1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1"/>
          <w:szCs w:val="11"/>
          <w:u w:val="single" w:color="auto"/>
          <w:color w:val="auto"/>
        </w:rPr>
        <w:t>Exhibit No.</w:t>
      </w:r>
    </w:p>
    <w:p>
      <w:pPr>
        <w:spacing w:after="0" w:line="8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2"/>
          <w:szCs w:val="12"/>
          <w:color w:val="auto"/>
        </w:rPr>
        <w:t>99.1</w:t>
      </w:r>
    </w:p>
    <w:p>
      <w:pPr>
        <w:spacing w:after="0" w:line="3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2"/>
          <w:szCs w:val="12"/>
          <w:color w:val="auto"/>
        </w:rPr>
        <w:t>104</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Description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000FF"/>
        </w:rPr>
        <w:t>Investor Presentation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513080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2">
            <w:col w:w="1300" w:space="720"/>
            <w:col w:w="9040"/>
          </w:cols>
          <w:pgMar w:left="300" w:top="665" w:right="539" w:bottom="1440" w:gutter="0" w:footer="0" w:header="0"/>
          <w:type w:val="continuous"/>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540" w:type="dxa"/>
            <w:vAlign w:val="bottom"/>
          </w:tcPr>
          <w:p>
            <w:pPr>
              <w:spacing w:after="0"/>
              <w:rPr>
                <w:sz w:val="13"/>
                <w:szCs w:val="13"/>
                <w:color w:val="auto"/>
              </w:rPr>
            </w:pPr>
          </w:p>
        </w:tc>
        <w:tc>
          <w:tcPr>
            <w:tcW w:w="4800" w:type="dxa"/>
            <w:vAlign w:val="bottom"/>
            <w:gridSpan w:val="3"/>
          </w:tcPr>
          <w:p>
            <w:pPr>
              <w:ind w:left="2540"/>
              <w:spacing w:after="0"/>
              <w:rPr>
                <w:sz w:val="20"/>
                <w:szCs w:val="20"/>
                <w:color w:val="auto"/>
              </w:rPr>
            </w:pPr>
            <w:r>
              <w:rPr>
                <w:rFonts w:ascii="Times New Roman" w:cs="Times New Roman" w:eastAsia="Times New Roman" w:hAnsi="Times New Roman"/>
                <w:sz w:val="12"/>
                <w:szCs w:val="12"/>
                <w:b w:val="1"/>
                <w:bCs w:val="1"/>
                <w:color w:val="auto"/>
                <w:w w:val="98"/>
              </w:rPr>
              <w:t>JAMES RIVER GROUP HOLDINGS, INC.</w:t>
            </w:r>
          </w:p>
        </w:tc>
      </w:tr>
      <w:tr>
        <w:trPr>
          <w:trHeight w:val="342"/>
        </w:trPr>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Dated: May 12, 2026</w:t>
            </w:r>
          </w:p>
        </w:tc>
        <w:tc>
          <w:tcPr>
            <w:tcW w:w="4800" w:type="dxa"/>
            <w:vAlign w:val="bottom"/>
            <w:gridSpan w:val="3"/>
          </w:tcPr>
          <w:p>
            <w:pPr>
              <w:ind w:left="2540"/>
              <w:spacing w:after="0"/>
              <w:rPr>
                <w:sz w:val="20"/>
                <w:szCs w:val="20"/>
                <w:color w:val="auto"/>
              </w:rPr>
            </w:pPr>
            <w:r>
              <w:rPr>
                <w:rFonts w:ascii="Times New Roman" w:cs="Times New Roman" w:eastAsia="Times New Roman" w:hAnsi="Times New Roman"/>
                <w:sz w:val="12"/>
                <w:szCs w:val="12"/>
                <w:color w:val="auto"/>
              </w:rPr>
              <w:t>By: /s/ Sarah C. Doran</w:t>
            </w:r>
          </w:p>
        </w:tc>
      </w:tr>
      <w:tr>
        <w:trPr>
          <w:trHeight w:val="20"/>
        </w:trPr>
        <w:tc>
          <w:tcPr>
            <w:tcW w:w="35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58"/>
        </w:trPr>
        <w:tc>
          <w:tcPr>
            <w:tcW w:w="3540" w:type="dxa"/>
            <w:vAlign w:val="bottom"/>
          </w:tcPr>
          <w:p>
            <w:pPr>
              <w:spacing w:after="0"/>
              <w:rPr>
                <w:sz w:val="13"/>
                <w:szCs w:val="13"/>
                <w:color w:val="auto"/>
              </w:rPr>
            </w:pPr>
          </w:p>
        </w:tc>
        <w:tc>
          <w:tcPr>
            <w:tcW w:w="4800" w:type="dxa"/>
            <w:vAlign w:val="bottom"/>
            <w:gridSpan w:val="3"/>
          </w:tcPr>
          <w:p>
            <w:pPr>
              <w:ind w:left="2560"/>
              <w:spacing w:after="0"/>
              <w:rPr>
                <w:sz w:val="20"/>
                <w:szCs w:val="20"/>
                <w:color w:val="auto"/>
              </w:rPr>
            </w:pPr>
            <w:r>
              <w:rPr>
                <w:rFonts w:ascii="Times New Roman" w:cs="Times New Roman" w:eastAsia="Times New Roman" w:hAnsi="Times New Roman"/>
                <w:sz w:val="12"/>
                <w:szCs w:val="12"/>
                <w:color w:val="auto"/>
              </w:rPr>
              <w:t>Sarah C. Doran</w:t>
            </w:r>
          </w:p>
        </w:tc>
      </w:tr>
      <w:tr>
        <w:trPr>
          <w:trHeight w:val="155"/>
        </w:trPr>
        <w:tc>
          <w:tcPr>
            <w:tcW w:w="3540" w:type="dxa"/>
            <w:vAlign w:val="bottom"/>
          </w:tcPr>
          <w:p>
            <w:pPr>
              <w:spacing w:after="0"/>
              <w:rPr>
                <w:sz w:val="13"/>
                <w:szCs w:val="13"/>
                <w:color w:val="auto"/>
              </w:rPr>
            </w:pPr>
          </w:p>
        </w:tc>
        <w:tc>
          <w:tcPr>
            <w:tcW w:w="4800" w:type="dxa"/>
            <w:vAlign w:val="bottom"/>
            <w:gridSpan w:val="3"/>
          </w:tcPr>
          <w:p>
            <w:pPr>
              <w:ind w:left="2560"/>
              <w:spacing w:after="0"/>
              <w:rPr>
                <w:sz w:val="20"/>
                <w:szCs w:val="20"/>
                <w:color w:val="auto"/>
              </w:rPr>
            </w:pPr>
            <w:r>
              <w:rPr>
                <w:rFonts w:ascii="Times New Roman" w:cs="Times New Roman" w:eastAsia="Times New Roman" w:hAnsi="Times New Roman"/>
                <w:sz w:val="12"/>
                <w:szCs w:val="12"/>
                <w:color w:val="auto"/>
              </w:rPr>
              <w:t>Chief Financial Officer</w:t>
            </w:r>
          </w:p>
        </w:tc>
      </w:tr>
    </w:tbl>
    <w:p>
      <w:pPr>
        <w:sectPr>
          <w:pgSz w:w="11900" w:h="16838" w:orient="portrait"/>
          <w:cols w:equalWidth="0" w:num="1">
            <w:col w:w="10159"/>
          </w:cols>
          <w:pgMar w:left="300" w:top="989"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21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3421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2026-05-12T15:18:31Z</dcterms:created>
  <dcterms:modified xsi:type="dcterms:W3CDTF">2026-05-12T15:18:31Z</dcterms:modified>
</cp:coreProperties>
</file>