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Jelena Napolitano</w:t>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0000FF"/>
        </w:rPr>
        <w:t>9 West 57th Street, 33rd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212-710-4311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4,623,685.00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4,623,685.00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4,623,685.00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4,623,685.00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4,623,685.00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4,623,685.00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HC, 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4,623,685.00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4,623,685.00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4,623,685.00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Stuart J. Zimmer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4,623,685.00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4,623,685.00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4,623,685.00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1.</w:t>
            </w:r>
          </w:p>
        </w:tc>
        <w:tc>
          <w:tcPr>
            <w:tcW w:w="10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Security and Issuer</w:t>
            </w: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of Class of Securities: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Common Stock, par value $0.0002 per share</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of Issuer:</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James River Group Holdings, Inc.</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w:t>
            </w:r>
          </w:p>
        </w:tc>
        <w:tc>
          <w:tcPr>
            <w:tcW w:w="10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tc>
        <w:tc>
          <w:tcPr>
            <w:tcW w:w="0" w:type="dxa"/>
            <w:vAlign w:val="bottom"/>
          </w:tcPr>
          <w:p>
            <w:pPr>
              <w:spacing w:after="0"/>
              <w:rPr>
                <w:sz w:val="1"/>
                <w:szCs w:val="1"/>
                <w:color w:val="auto"/>
              </w:rPr>
            </w:pPr>
          </w:p>
        </w:tc>
      </w:tr>
      <w:tr>
        <w:trPr>
          <w:trHeight w:val="243"/>
        </w:trPr>
        <w:tc>
          <w:tcPr>
            <w:tcW w:w="900" w:type="dxa"/>
            <w:vAlign w:val="bottom"/>
            <w:vMerge w:val="continue"/>
          </w:tcPr>
          <w:p>
            <w:pPr>
              <w:spacing w:after="0"/>
              <w:rPr>
                <w:sz w:val="21"/>
                <w:szCs w:val="21"/>
                <w:color w:val="auto"/>
              </w:rPr>
            </w:pPr>
          </w:p>
        </w:tc>
        <w:tc>
          <w:tcPr>
            <w:tcW w:w="10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1414 Raleigh Road, Suite 405, Chapel Hill, NORTH CAROLINA , 27517.</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1</w:t>
            </w:r>
          </w:p>
        </w:tc>
        <w:tc>
          <w:tcPr>
            <w:tcW w:w="10260" w:type="dxa"/>
            <w:vAlign w:val="bottom"/>
          </w:tcPr>
          <w:p>
            <w:pPr>
              <w:ind w:left="560"/>
              <w:spacing w:after="0" w:line="248" w:lineRule="exact"/>
              <w:rPr>
                <w:sz w:val="20"/>
                <w:szCs w:val="20"/>
                <w:color w:val="auto"/>
              </w:rPr>
            </w:pPr>
            <w:r>
              <w:rPr>
                <w:rFonts w:ascii="Times New Roman" w:cs="Times New Roman" w:eastAsia="Times New Roman" w:hAnsi="Times New Roman"/>
                <w:sz w:val="22"/>
                <w:szCs w:val="22"/>
                <w:color w:val="auto"/>
              </w:rPr>
              <w:t>Information given in response to each item shall be deemed incorporated by reference in all other items, as</w:t>
            </w:r>
          </w:p>
        </w:tc>
        <w:tc>
          <w:tcPr>
            <w:tcW w:w="0" w:type="dxa"/>
            <w:vAlign w:val="bottom"/>
          </w:tcPr>
          <w:p>
            <w:pPr>
              <w:spacing w:after="0"/>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applicable.</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Item 2.</w:t>
            </w:r>
          </w:p>
        </w:tc>
        <w:tc>
          <w:tcPr>
            <w:tcW w:w="10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Identity and Background</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Zimmer Partners, LP, a Delaware limited partnership (the "Investment Manager"), Zimmer Financial Services Group</w:t>
      </w:r>
    </w:p>
    <w:p>
      <w:pPr>
        <w:spacing w:after="0" w:line="26" w:lineRule="exact"/>
        <w:rPr>
          <w:sz w:val="20"/>
          <w:szCs w:val="20"/>
          <w:color w:val="auto"/>
        </w:rPr>
      </w:pPr>
    </w:p>
    <w:p>
      <w:pPr>
        <w:ind w:left="920" w:right="8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LLC, a Delaware limited liability company ("ZFSG"), Zimmer Partners GP, LLC, a Delaware limited liability company (the "GP"), and Stuart J. Zimmer, a United States citizen (together with the Investment Manager, ZFSG and the GP, each, a "Reporting Person" and, collectively, the "Reporting Persons").</w:t>
      </w:r>
    </w:p>
    <w:p>
      <w:pPr>
        <w:spacing w:after="0" w:line="18" w:lineRule="exact"/>
        <w:rPr>
          <w:rFonts w:ascii="Times New Roman" w:cs="Times New Roman" w:eastAsia="Times New Roman" w:hAnsi="Times New Roman"/>
          <w:sz w:val="42"/>
          <w:szCs w:val="42"/>
          <w:color w:val="auto"/>
          <w:vertAlign w:val="subscript"/>
        </w:rPr>
      </w:pPr>
    </w:p>
    <w:p>
      <w:pPr>
        <w:ind w:left="920" w:right="1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c/o Zimmer Partners, LP 9 West 57th Street, 33rd Floor New York, NY 10019.</w:t>
      </w:r>
    </w:p>
    <w:p>
      <w:pPr>
        <w:spacing w:after="0" w:line="17" w:lineRule="exact"/>
        <w:rPr>
          <w:rFonts w:ascii="Times New Roman" w:cs="Times New Roman" w:eastAsia="Times New Roman" w:hAnsi="Times New Roman"/>
          <w:sz w:val="39"/>
          <w:szCs w:val="39"/>
          <w:color w:val="auto"/>
          <w:vertAlign w:val="subscript"/>
        </w:rPr>
      </w:pPr>
    </w:p>
    <w:p>
      <w:pPr>
        <w:ind w:left="920" w:right="40"/>
        <w:spacing w:after="0" w:line="247"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principal business of ZFSG is acting as the sole member of the GP and other affiliates. Stuart J. Zimmer, a revocable trust for his benefit, and an irrevocable trust for his immediate family are the sole members of ZFSG. Stuart J. Zimmer's principal business is acting as the Chief Executive Officer of the Investment Manager and ZFSG. The principal business of the GP is acting as the general partner of the Investment Manager. The principal business of the</w:t>
      </w:r>
    </w:p>
    <w:p>
      <w:pPr>
        <w:spacing w:after="0" w:line="1" w:lineRule="exact"/>
        <w:rPr>
          <w:rFonts w:ascii="Times New Roman" w:cs="Times New Roman" w:eastAsia="Times New Roman" w:hAnsi="Times New Roman"/>
          <w:sz w:val="39"/>
          <w:szCs w:val="39"/>
          <w:color w:val="auto"/>
          <w:vertAlign w:val="subscript"/>
        </w:rPr>
      </w:pPr>
    </w:p>
    <w:p>
      <w:pPr>
        <w:ind w:left="920" w:right="16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Investment Manager is serving as an investment manager to certain private investment funds and managed accounts, including Zimmer Master Infrastructure Fund, LP and ZP Master MidCap Fund, Ltd., (together, the "Zimmer Accounts"). Jelena Napolitano is the General Counsel of the Investment Manager and Chief Legal Officer of ZFSG, and Neil Adler (together with Ms. Napolitano, the "Specified Officers") is the Chief Financial Officer of the Investment Manager and ZFSG. Except as disclosed herein, none of the Specified Officers beneficially owns any securities of the Issuer (as defined below).</w:t>
      </w:r>
    </w:p>
    <w:p>
      <w:pPr>
        <w:spacing w:after="0" w:line="14" w:lineRule="exact"/>
        <w:rPr>
          <w:rFonts w:ascii="Times New Roman" w:cs="Times New Roman" w:eastAsia="Times New Roman" w:hAnsi="Times New Roman"/>
          <w:sz w:val="43"/>
          <w:szCs w:val="43"/>
          <w:color w:val="auto"/>
          <w:vertAlign w:val="subscript"/>
        </w:rPr>
      </w:pPr>
    </w:p>
    <w:p>
      <w:pPr>
        <w:ind w:left="920" w:right="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During the past five years, none of the Reporting Persons nor any of the Specified Officers has been (i) convicted in a criminal proceeding (excluding traffic violations or similar misdemeanors) or (ii) a party to a civil proceeding of a</w:t>
      </w:r>
    </w:p>
    <w:p>
      <w:pPr>
        <w:ind w:left="920" w:right="4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right="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past five years, none of the Reporting Persons nor any of the Specified Officers has been (i) convicted in a criminal proceeding (excluding traffic violations or similar misdemeanors) or (ii) a party to a civil proceeding of a</w:t>
      </w:r>
    </w:p>
    <w:p>
      <w:pPr>
        <w:ind w:left="920" w:right="4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in Item 2(a) above is incorporated herein by reference. Each of the Specified Officers is a United States Citizen.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Reporting Persons used the working capital of the Zimmer Accounts to purchase the 4,623,685 shares of</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common stock, par value $0.0002 (the "Common Stock") of James River Group Holdings, Inc. (the "Issuer") reported</w:t>
      </w:r>
    </w:p>
    <w:p>
      <w:pPr>
        <w:ind w:left="920"/>
        <w:spacing w:after="0" w:line="231" w:lineRule="auto"/>
        <w:rPr>
          <w:sz w:val="20"/>
          <w:szCs w:val="20"/>
          <w:color w:val="auto"/>
        </w:rPr>
      </w:pPr>
      <w:r>
        <w:rPr>
          <w:rFonts w:ascii="Times New Roman" w:cs="Times New Roman" w:eastAsia="Times New Roman" w:hAnsi="Times New Roman"/>
          <w:sz w:val="22"/>
          <w:szCs w:val="22"/>
          <w:color w:val="auto"/>
        </w:rPr>
        <w:t>herein. The total purchase price for such shares of Common Stock reported herein was approximately</w:t>
      </w:r>
    </w:p>
    <w:p>
      <w:pPr>
        <w:ind w:left="920"/>
        <w:spacing w:after="0" w:line="231" w:lineRule="auto"/>
        <w:rPr>
          <w:sz w:val="20"/>
          <w:szCs w:val="20"/>
          <w:color w:val="auto"/>
        </w:rPr>
      </w:pPr>
      <w:r>
        <w:rPr>
          <w:rFonts w:ascii="Times New Roman" w:cs="Times New Roman" w:eastAsia="Times New Roman" w:hAnsi="Times New Roman"/>
          <w:sz w:val="22"/>
          <w:szCs w:val="22"/>
          <w:color w:val="auto"/>
        </w:rPr>
        <w:t>$22,405,043.83. The Reporting Persons have effected, and may in the future effect, purchases of securities through</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margin accounts maintained for the Zimmer Accounts with brokers, which extend margin credit as and when required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to open or carry positions in their margin accounts, subject to applicable margin regulations, stock exchange rules and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such firms' credit policies. Positions in shares of Common Stock may be held in margin accounts and may be pledged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collateral security for the repayment of debit balances in such accounts.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The Reporting Persons originally acquired the position in the shares of Common Stock of the Issuer for the account of the Zimmer Accounts in the belief that the shares of Common Stock were undervalued and represented an attractive investment opportunity. The Reporting Persons have begun to discuss or may in the future discuss with management of the Issuer, members of the Issuer's Board of Directors (the "Board") and other stockholders of the Issuer, among other things, strategic changes with respect to the Issuer or its subsidiaries, elimination of the common dividend and suspension of the preferred dividend, use of excess cash to pay down debt, a potential private placement of equity securities, other changes to the Issuer's operations and reduction of expenses, offerings of securities and proposing or responding to a potential strategic transaction. The Reporting Persons intend to review their investment in the Issuer on a continuing basis and may from time to time and at any time in the future depending on various factors, including, without limitation, the Issuer's financial position and strategic direction, actions taken by the Issuer's Board or management, price levels of the shares of Common Stock, other investment opportunities available to the Reporting Persons, conditions in the securities market and general economic and industry conditions, take such actions with respect to their investments in the Issuer as they deem appropriate, including changing its intent with</w:t>
      </w:r>
    </w:p>
    <w:p>
      <w:pPr>
        <w:sectPr>
          <w:pgSz w:w="11900" w:h="16838" w:orient="portrait"/>
          <w:cols w:equalWidth="0" w:num="1">
            <w:col w:w="11160"/>
          </w:cols>
          <w:pgMar w:left="360" w:top="112" w:right="379" w:bottom="0" w:gutter="0" w:footer="0" w:header="0"/>
        </w:sectPr>
      </w:pPr>
    </w:p>
    <w:bookmarkStart w:id="5" w:name="page6"/>
    <w:bookmarkEnd w:id="5"/>
    <w:p>
      <w:pPr>
        <w:ind w:left="920" w:right="100"/>
        <w:spacing w:after="0" w:line="235" w:lineRule="auto"/>
        <w:rPr>
          <w:sz w:val="20"/>
          <w:szCs w:val="20"/>
          <w:color w:val="auto"/>
        </w:rPr>
      </w:pPr>
      <w:r>
        <w:rPr>
          <w:rFonts w:ascii="Times New Roman" w:cs="Times New Roman" w:eastAsia="Times New Roman" w:hAnsi="Times New Roman"/>
          <w:sz w:val="22"/>
          <w:szCs w:val="22"/>
          <w:color w:val="auto"/>
        </w:rPr>
        <w:t>respect to the above. The Reporting Persons may, subject to regulatory approvals: (i) acquire additional shares of Common Stock and/or other equity, debt, notes, other securities, or derivative or other instruments that are convertible into shares of Common Stock, or are based upon or relate to the value of the shares of Common Stock or the Issuer (collectively, "Securities") in the open market, in a private placement, or otherwise; (ii) dispose of any or all of their Securities in the open market or otherwise; (iii) engage in any hedging or similar transactions with respect to the Securities; or (iv) propose or consider one or more of the actions described in subsections (a) through (j) of Item 4 of Schedule 13D.</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Each of the Reporting Persons may be deemed to beneficially own 4,623,685 shares of Common Stock of the Issuer, which represents approximately 9.9999987% of the shares of Common Stock outstanding, based on 46,236,856 shares of Common Stock outstanding as of May 4, 2026, as reported in the Issuer's Form 10-Q filed with the</w:t>
      </w:r>
    </w:p>
    <w:p>
      <w:pPr>
        <w:spacing w:after="0" w:line="1" w:lineRule="exact"/>
        <w:rPr>
          <w:sz w:val="20"/>
          <w:szCs w:val="20"/>
          <w:color w:val="auto"/>
        </w:rPr>
      </w:pPr>
    </w:p>
    <w:p>
      <w:pPr>
        <w:ind w:left="920" w:right="2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Securities and Exchange Commission on May 5, 2026. The shares of Common Stock reported herein are directly held by the Zimmer Accounts. Each Reporting Person may be deemed to beneficially own the shares of Common Stock directly held by the Zimmer Accounts due to their relationships with the Zimmer Accounts as described above in Item 2(a). Such information regarding the relationships among the Reporting Persons in Item 2(a) is incorporated herein by reference.</w:t>
      </w:r>
    </w:p>
    <w:p>
      <w:pPr>
        <w:spacing w:after="0" w:line="14" w:lineRule="exact"/>
        <w:rPr>
          <w:rFonts w:ascii="Times New Roman" w:cs="Times New Roman" w:eastAsia="Times New Roman" w:hAnsi="Times New Roman"/>
          <w:sz w:val="43"/>
          <w:szCs w:val="43"/>
          <w:color w:val="auto"/>
          <w:vertAlign w:val="subscript"/>
        </w:rPr>
      </w:pPr>
    </w:p>
    <w:p>
      <w:pPr>
        <w:ind w:left="920" w:right="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Items 7 through 10 of the cover pages of this Schedule 13D for each of the Reporting Persons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3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Transactions by the Reporting Persons (on behalf of the Zimmer Accounts) effected during the past 60 days are set forth in Exhibit 99.2 and such information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99.1 Agreement Regarding the Joint Filing of Schedule 13D by and among the Reporting Persons 99.2 Transactions Effected by the Reporting Person (on Behalf of the Zimmer Accounts) During the Past 60 Days.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Jelena Napolitano</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Jelena Napolitano / Authorized Person</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Stuart J. Zimmer / Director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Stuart J. Zimmer / Director, Zimmer Financial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Services Group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Stuart J. Zimmer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Stuart J. Zimmer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Stuart J. Zimmer / Self</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00" w:lineRule="exact"/>
        <w:rPr>
          <w:sz w:val="20"/>
          <w:szCs w:val="20"/>
          <w:color w:val="auto"/>
        </w:rPr>
      </w:pPr>
    </w:p>
    <w:p>
      <w:pPr>
        <w:spacing w:after="0" w:line="24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In accordance with Rule 13d-1(k)(1) under the Securities Exchange Act of 1934, as amended, the persons named below agree to the joint filing on behalf of each of them of a Statement on Schedule 13D (including additional amendments thereto) with respect to the Common Stock, par value $0.0002 per share, of James River Group Holdings, Inc.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shall be deemed an original.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as of this 15th day of May,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4"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Jelena Napolitano</w:t>
      </w:r>
    </w:p>
    <w:p>
      <w:pPr>
        <w:spacing w:after="0"/>
        <w:tabs>
          <w:tab w:leader="none" w:pos="1600" w:val="left"/>
        </w:tabs>
        <w:rPr>
          <w:sz w:val="20"/>
          <w:szCs w:val="20"/>
          <w:color w:val="auto"/>
        </w:rPr>
      </w:pPr>
      <w:r>
        <w:rPr>
          <w:rFonts w:ascii="Times New Roman" w:cs="Times New Roman" w:eastAsia="Times New Roman" w:hAnsi="Times New Roman"/>
          <w:sz w:val="22"/>
          <w:szCs w:val="22"/>
          <w:color w:val="auto"/>
        </w:rPr>
        <w:t>Name/Title:</w:t>
      </w:r>
      <w:r>
        <w:rPr>
          <w:sz w:val="20"/>
          <w:szCs w:val="20"/>
          <w:color w:val="auto"/>
        </w:rPr>
        <w:tab/>
      </w:r>
      <w:r>
        <w:rPr>
          <w:rFonts w:ascii="Times New Roman" w:cs="Times New Roman" w:eastAsia="Times New Roman" w:hAnsi="Times New Roman"/>
          <w:sz w:val="22"/>
          <w:szCs w:val="22"/>
          <w:color w:val="auto"/>
        </w:rPr>
        <w:t>Jelena Napolitano /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Stuart J. Zimmer</w:t>
      </w: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Name/Title:</w:t>
      </w:r>
      <w:r>
        <w:rPr>
          <w:sz w:val="20"/>
          <w:szCs w:val="20"/>
          <w:color w:val="auto"/>
        </w:rPr>
        <w:tab/>
      </w:r>
      <w:r>
        <w:rPr>
          <w:rFonts w:ascii="Times New Roman" w:cs="Times New Roman" w:eastAsia="Times New Roman" w:hAnsi="Times New Roman"/>
          <w:sz w:val="22"/>
          <w:szCs w:val="22"/>
          <w:color w:val="auto"/>
        </w:rPr>
        <w:t>Stuart J. Zimmer /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Stuart J. Zimmer</w:t>
      </w: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Name/Title:</w:t>
      </w:r>
      <w:r>
        <w:rPr>
          <w:sz w:val="20"/>
          <w:szCs w:val="20"/>
          <w:color w:val="auto"/>
        </w:rPr>
        <w:tab/>
      </w:r>
      <w:r>
        <w:rPr>
          <w:rFonts w:ascii="Times New Roman" w:cs="Times New Roman" w:eastAsia="Times New Roman" w:hAnsi="Times New Roman"/>
          <w:sz w:val="22"/>
          <w:szCs w:val="22"/>
          <w:color w:val="auto"/>
        </w:rPr>
        <w:t>Stuart J. Zimmer / Director, Zimmer Financial Services Group LLC</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Stuart J. Zimmer Signature: Name/Title: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Stuart J. Zimmer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Stuart J. Zimmer / Self</w:t>
      </w:r>
    </w:p>
    <w:p>
      <w:pPr>
        <w:sectPr>
          <w:pgSz w:w="11900" w:h="16838" w:orient="portrait"/>
          <w:cols w:equalWidth="0" w:num="2">
            <w:col w:w="1460" w:space="240"/>
            <w:col w:w="9540"/>
          </w:cols>
          <w:pgMar w:left="320" w:top="351" w:right="3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TRANSACTIONS</w:t>
      </w:r>
    </w:p>
    <w:p>
      <w:pPr>
        <w:spacing w:after="0" w:line="10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Except as previously disclosed in this Schedule 13D, as amended, the following table sets forth all transactions by the Reporting Persons (on behalf of the Funds or Accounts) with respect to the securities of James River Group Holdings, Inc. in the last 60 days, inclusive of any transactions effected through 4:00 p.m., New York City time, on May 15, 2026. Except as otherwise noted below, all such transactions were purchases or sales of securities of James River Group Holdings, Inc. effected in the open market (unless noted otherwise), and the table excludes commissions paid in per share prices.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ZIMMER MASTER INFRASTRUCTURE FUND, L.P.</w:t>
            </w:r>
          </w:p>
        </w:tc>
        <w:tc>
          <w:tcPr>
            <w:tcW w:w="3060" w:type="dxa"/>
            <w:vAlign w:val="bottom"/>
          </w:tcPr>
          <w:p>
            <w:pPr>
              <w:spacing w:after="0"/>
              <w:rPr>
                <w:sz w:val="22"/>
                <w:szCs w:val="22"/>
                <w:color w:val="auto"/>
              </w:rPr>
            </w:pPr>
          </w:p>
        </w:tc>
      </w:tr>
      <w:tr>
        <w:trPr>
          <w:trHeight w:val="757"/>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Type of Security</w:t>
            </w:r>
          </w:p>
        </w:tc>
        <w:tc>
          <w:tcPr>
            <w:tcW w:w="2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Amount Purchased/(Sold)</w:t>
            </w:r>
          </w:p>
        </w:tc>
        <w:tc>
          <w:tcPr>
            <w:tcW w:w="3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Price Per Security ($)</w:t>
            </w:r>
          </w:p>
        </w:tc>
        <w:tc>
          <w:tcPr>
            <w:tcW w:w="3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Date of Purchase/Sale</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259,916</w:t>
            </w:r>
          </w:p>
        </w:tc>
        <w:tc>
          <w:tcPr>
            <w:tcW w:w="1440" w:type="dxa"/>
            <w:vAlign w:val="bottom"/>
            <w:tcBorders>
              <w:bottom w:val="single" w:sz="8" w:color="auto"/>
            </w:tcBorders>
            <w:shd w:val="clear" w:color="auto" w:fill="F2F2F2"/>
          </w:tcPr>
          <w:p>
            <w:pPr>
              <w:spacing w:after="0"/>
              <w:rPr>
                <w:sz w:val="21"/>
                <w:szCs w:val="21"/>
                <w:color w:val="auto"/>
              </w:rPr>
            </w:pPr>
          </w:p>
        </w:tc>
        <w:tc>
          <w:tcPr>
            <w:tcW w:w="3680" w:type="dxa"/>
            <w:vAlign w:val="bottom"/>
            <w:tcBorders>
              <w:bottom w:val="single" w:sz="8" w:color="auto"/>
            </w:tcBorders>
            <w:shd w:val="clear" w:color="auto" w:fill="F2F2F2"/>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$5.0293 (1)</w:t>
            </w:r>
          </w:p>
        </w:tc>
        <w:tc>
          <w:tcPr>
            <w:tcW w:w="306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21,028</w:t>
            </w:r>
          </w:p>
        </w:tc>
        <w:tc>
          <w:tcPr>
            <w:tcW w:w="1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$4.9493 (2)</w:t>
            </w:r>
          </w:p>
        </w:tc>
        <w:tc>
          <w:tcPr>
            <w:tcW w:w="306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440" w:type="dxa"/>
            <w:vAlign w:val="bottom"/>
            <w:tcBorders>
              <w:bottom w:val="single" w:sz="8" w:color="auto"/>
            </w:tcBorders>
            <w:shd w:val="clear" w:color="auto" w:fill="F2F2F2"/>
          </w:tcPr>
          <w:p>
            <w:pPr>
              <w:spacing w:after="0"/>
              <w:rPr>
                <w:sz w:val="21"/>
                <w:szCs w:val="21"/>
                <w:color w:val="auto"/>
              </w:rPr>
            </w:pPr>
          </w:p>
        </w:tc>
        <w:tc>
          <w:tcPr>
            <w:tcW w:w="3680" w:type="dxa"/>
            <w:vAlign w:val="bottom"/>
            <w:tcBorders>
              <w:bottom w:val="single" w:sz="8" w:color="auto"/>
            </w:tcBorders>
            <w:shd w:val="clear" w:color="auto" w:fill="F2F2F2"/>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$5.0742 (3)</w:t>
            </w:r>
          </w:p>
        </w:tc>
        <w:tc>
          <w:tcPr>
            <w:tcW w:w="306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$5.2111 (4)</w:t>
            </w:r>
          </w:p>
        </w:tc>
        <w:tc>
          <w:tcPr>
            <w:tcW w:w="306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11,798</w:t>
            </w:r>
          </w:p>
        </w:tc>
        <w:tc>
          <w:tcPr>
            <w:tcW w:w="1440" w:type="dxa"/>
            <w:vAlign w:val="bottom"/>
            <w:tcBorders>
              <w:bottom w:val="single" w:sz="8" w:color="auto"/>
            </w:tcBorders>
            <w:shd w:val="clear" w:color="auto" w:fill="F2F2F2"/>
          </w:tcPr>
          <w:p>
            <w:pPr>
              <w:spacing w:after="0"/>
              <w:rPr>
                <w:sz w:val="21"/>
                <w:szCs w:val="21"/>
                <w:color w:val="auto"/>
              </w:rPr>
            </w:pPr>
          </w:p>
        </w:tc>
        <w:tc>
          <w:tcPr>
            <w:tcW w:w="3680" w:type="dxa"/>
            <w:vAlign w:val="bottom"/>
            <w:tcBorders>
              <w:bottom w:val="single" w:sz="8" w:color="auto"/>
            </w:tcBorders>
            <w:shd w:val="clear" w:color="auto" w:fill="F2F2F2"/>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$5.1442 (5)</w:t>
            </w:r>
          </w:p>
        </w:tc>
        <w:tc>
          <w:tcPr>
            <w:tcW w:w="306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3,375</w:t>
            </w:r>
          </w:p>
        </w:tc>
        <w:tc>
          <w:tcPr>
            <w:tcW w:w="1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$4.7147 (6)</w:t>
            </w:r>
          </w:p>
        </w:tc>
        <w:tc>
          <w:tcPr>
            <w:tcW w:w="306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57,000</w:t>
            </w:r>
          </w:p>
        </w:tc>
        <w:tc>
          <w:tcPr>
            <w:tcW w:w="1440" w:type="dxa"/>
            <w:vAlign w:val="bottom"/>
            <w:tcBorders>
              <w:bottom w:val="single" w:sz="8" w:color="auto"/>
            </w:tcBorders>
            <w:shd w:val="clear" w:color="auto" w:fill="F2F2F2"/>
          </w:tcPr>
          <w:p>
            <w:pPr>
              <w:spacing w:after="0"/>
              <w:rPr>
                <w:sz w:val="21"/>
                <w:szCs w:val="21"/>
                <w:color w:val="auto"/>
              </w:rPr>
            </w:pPr>
          </w:p>
        </w:tc>
        <w:tc>
          <w:tcPr>
            <w:tcW w:w="3680" w:type="dxa"/>
            <w:vAlign w:val="bottom"/>
            <w:tcBorders>
              <w:bottom w:val="single" w:sz="8" w:color="auto"/>
            </w:tcBorders>
            <w:shd w:val="clear" w:color="auto" w:fill="F2F2F2"/>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$4.5163 (7)</w:t>
            </w:r>
          </w:p>
        </w:tc>
        <w:tc>
          <w:tcPr>
            <w:tcW w:w="306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05/06/2026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1,695</w:t>
            </w:r>
          </w:p>
        </w:tc>
        <w:tc>
          <w:tcPr>
            <w:tcW w:w="14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center"/>
              <w:ind w:left="652"/>
              <w:spacing w:after="0" w:line="243" w:lineRule="exact"/>
              <w:rPr>
                <w:sz w:val="20"/>
                <w:szCs w:val="20"/>
                <w:color w:val="auto"/>
              </w:rPr>
            </w:pPr>
            <w:r>
              <w:rPr>
                <w:rFonts w:ascii="Times New Roman" w:cs="Times New Roman" w:eastAsia="Times New Roman" w:hAnsi="Times New Roman"/>
                <w:sz w:val="22"/>
                <w:szCs w:val="22"/>
                <w:color w:val="auto"/>
                <w:w w:val="97"/>
              </w:rPr>
              <w:t>$4.5199 (8)</w:t>
            </w:r>
          </w:p>
        </w:tc>
        <w:tc>
          <w:tcPr>
            <w:tcW w:w="306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05/06/2026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28,972</w:t>
            </w:r>
          </w:p>
        </w:tc>
        <w:tc>
          <w:tcPr>
            <w:tcW w:w="1440" w:type="dxa"/>
            <w:vAlign w:val="bottom"/>
            <w:tcBorders>
              <w:bottom w:val="single" w:sz="8" w:color="auto"/>
            </w:tcBorders>
            <w:shd w:val="clear" w:color="auto" w:fill="F2F2F2"/>
          </w:tcPr>
          <w:p>
            <w:pPr>
              <w:spacing w:after="0"/>
              <w:rPr>
                <w:sz w:val="21"/>
                <w:szCs w:val="21"/>
                <w:color w:val="auto"/>
              </w:rPr>
            </w:pPr>
          </w:p>
        </w:tc>
        <w:tc>
          <w:tcPr>
            <w:tcW w:w="3680" w:type="dxa"/>
            <w:vAlign w:val="bottom"/>
            <w:tcBorders>
              <w:bottom w:val="single" w:sz="8" w:color="auto"/>
            </w:tcBorders>
            <w:shd w:val="clear" w:color="auto" w:fill="F2F2F2"/>
          </w:tcPr>
          <w:p>
            <w:pPr>
              <w:jc w:val="center"/>
              <w:ind w:left="672"/>
              <w:spacing w:after="0" w:line="243" w:lineRule="exact"/>
              <w:rPr>
                <w:sz w:val="20"/>
                <w:szCs w:val="20"/>
                <w:color w:val="auto"/>
              </w:rPr>
            </w:pPr>
            <w:r>
              <w:rPr>
                <w:rFonts w:ascii="Times New Roman" w:cs="Times New Roman" w:eastAsia="Times New Roman" w:hAnsi="Times New Roman"/>
                <w:sz w:val="22"/>
                <w:szCs w:val="22"/>
                <w:color w:val="auto"/>
                <w:w w:val="97"/>
              </w:rPr>
              <w:t>$4.3000</w:t>
            </w:r>
          </w:p>
        </w:tc>
        <w:tc>
          <w:tcPr>
            <w:tcW w:w="306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05/07/2026</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ZP MASTER MIDCAP FUND, LTD.</w:t>
            </w:r>
          </w:p>
        </w:tc>
        <w:tc>
          <w:tcPr>
            <w:tcW w:w="3900" w:type="dxa"/>
            <w:vAlign w:val="bottom"/>
          </w:tcPr>
          <w:p>
            <w:pPr>
              <w:spacing w:after="0"/>
              <w:rPr>
                <w:sz w:val="21"/>
                <w:szCs w:val="21"/>
                <w:color w:val="auto"/>
              </w:rPr>
            </w:pPr>
          </w:p>
        </w:tc>
      </w:tr>
      <w:tr>
        <w:trPr>
          <w:trHeight w:val="756"/>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Type of Security</w:t>
            </w:r>
          </w:p>
        </w:tc>
        <w:tc>
          <w:tcPr>
            <w:tcW w:w="2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Amount Purchased/(Sold)</w:t>
            </w:r>
          </w:p>
        </w:tc>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Price Per Security ($)</w:t>
            </w:r>
          </w:p>
        </w:tc>
        <w:tc>
          <w:tcPr>
            <w:tcW w:w="3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Date of Purchase/Sale</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(18,362)*</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7"/>
              </w:rPr>
              <w:t>$6.5242 (9)</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03/16/2026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(2,100)*</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512"/>
              <w:spacing w:after="0" w:line="243" w:lineRule="exact"/>
              <w:rPr>
                <w:sz w:val="20"/>
                <w:szCs w:val="20"/>
                <w:color w:val="auto"/>
              </w:rPr>
            </w:pPr>
            <w:r>
              <w:rPr>
                <w:rFonts w:ascii="Times New Roman" w:cs="Times New Roman" w:eastAsia="Times New Roman" w:hAnsi="Times New Roman"/>
                <w:sz w:val="22"/>
                <w:szCs w:val="22"/>
                <w:color w:val="auto"/>
                <w:w w:val="97"/>
              </w:rPr>
              <w:t>$6.5700</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03/16/2026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(37,100)*</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$6.5768 (10)</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03/17/2026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512"/>
              <w:spacing w:after="0" w:line="243" w:lineRule="exact"/>
              <w:rPr>
                <w:sz w:val="20"/>
                <w:szCs w:val="20"/>
                <w:color w:val="auto"/>
              </w:rPr>
            </w:pPr>
            <w:r>
              <w:rPr>
                <w:rFonts w:ascii="Times New Roman" w:cs="Times New Roman" w:eastAsia="Times New Roman" w:hAnsi="Times New Roman"/>
                <w:sz w:val="22"/>
                <w:szCs w:val="22"/>
                <w:color w:val="auto"/>
                <w:w w:val="97"/>
              </w:rPr>
              <w:t>$6.4000</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03/23/2026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(71,567)*</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512"/>
              <w:spacing w:after="0" w:line="243" w:lineRule="exact"/>
              <w:rPr>
                <w:sz w:val="20"/>
                <w:szCs w:val="20"/>
                <w:color w:val="auto"/>
              </w:rPr>
            </w:pPr>
            <w:r>
              <w:rPr>
                <w:rFonts w:ascii="Times New Roman" w:cs="Times New Roman" w:eastAsia="Times New Roman" w:hAnsi="Times New Roman"/>
                <w:sz w:val="22"/>
                <w:szCs w:val="22"/>
                <w:color w:val="auto"/>
                <w:w w:val="96"/>
              </w:rPr>
              <w:t>$6.2610 (11)</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03/30/2026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(1,861)*</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$6.3057 (12)</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03/30/2026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512"/>
              <w:spacing w:after="0" w:line="243" w:lineRule="exact"/>
              <w:rPr>
                <w:sz w:val="20"/>
                <w:szCs w:val="20"/>
                <w:color w:val="auto"/>
              </w:rPr>
            </w:pPr>
            <w:r>
              <w:rPr>
                <w:rFonts w:ascii="Times New Roman" w:cs="Times New Roman" w:eastAsia="Times New Roman" w:hAnsi="Times New Roman"/>
                <w:sz w:val="22"/>
                <w:szCs w:val="22"/>
                <w:color w:val="auto"/>
                <w:w w:val="97"/>
              </w:rPr>
              <w:t>$6.2600</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03/30/2026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(81,495)*</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$6.2993 (13)</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03/31/2026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(8,388)*</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$6.3121 (14)</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04/08/2026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(11,000)*</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$6.3255 (15)</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04/09/2026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(16,816)*</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$6.2863 (16)</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04/13/2026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$6.3050 (17)</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04/14/2026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(7,000)*</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$6.3600 (18)</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04/15/2026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$6.4350 (19)</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04/16/2026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(3,682)*</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$6.5664 (20)</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04/17/2026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(1,864)*</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$6.4538 (21)</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04/20/2026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(17,810)*</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$6.3717 (22)</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04/21/2026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(9,611)*</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$6.3941 (23)</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04/24/2026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(1,731)*</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$6.4049 (24)</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04/27/2026</w:t>
            </w:r>
          </w:p>
        </w:tc>
      </w:tr>
      <w:tr>
        <w:trPr>
          <w:trHeight w:val="250"/>
        </w:trPr>
        <w:tc>
          <w:tcPr>
            <w:tcW w:w="170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(456,737)</w:t>
            </w:r>
          </w:p>
        </w:tc>
        <w:tc>
          <w:tcPr>
            <w:tcW w:w="6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$6.1300 (25)</w:t>
            </w:r>
          </w:p>
        </w:tc>
        <w:tc>
          <w:tcPr>
            <w:tcW w:w="3900" w:type="dxa"/>
            <w:vAlign w:val="bottom"/>
            <w:tcBorders>
              <w:bottom w:val="single" w:sz="8" w:color="auto"/>
            </w:tcBorders>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r>
        <w:trPr>
          <w:trHeight w:val="250"/>
        </w:trPr>
        <w:tc>
          <w:tcPr>
            <w:tcW w:w="1700" w:type="dxa"/>
            <w:vAlign w:val="bottom"/>
            <w:tcBorders>
              <w:bottom w:val="single" w:sz="8" w:color="auto"/>
            </w:tcBorders>
            <w:shd w:val="clear" w:color="auto" w:fill="F2F2F2"/>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200" w:type="dxa"/>
            <w:vAlign w:val="bottom"/>
            <w:tcBorders>
              <w:bottom w:val="single" w:sz="8" w:color="auto"/>
            </w:tcBorders>
            <w:shd w:val="clear" w:color="auto" w:fill="F2F2F2"/>
          </w:tcPr>
          <w:p>
            <w:pPr>
              <w:ind w:left="200"/>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600" w:type="dxa"/>
            <w:vAlign w:val="bottom"/>
            <w:tcBorders>
              <w:bottom w:val="single" w:sz="8" w:color="auto"/>
            </w:tcBorders>
            <w:shd w:val="clear" w:color="auto" w:fill="F2F2F2"/>
          </w:tcPr>
          <w:p>
            <w:pPr>
              <w:spacing w:after="0"/>
              <w:rPr>
                <w:sz w:val="21"/>
                <w:szCs w:val="21"/>
                <w:color w:val="auto"/>
              </w:rPr>
            </w:pPr>
          </w:p>
        </w:tc>
        <w:tc>
          <w:tcPr>
            <w:tcW w:w="2840" w:type="dxa"/>
            <w:vAlign w:val="bottom"/>
            <w:tcBorders>
              <w:bottom w:val="single" w:sz="8" w:color="auto"/>
            </w:tcBorders>
            <w:shd w:val="clear" w:color="auto" w:fill="F2F2F2"/>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$5.2726 (26)</w:t>
            </w:r>
          </w:p>
        </w:tc>
        <w:tc>
          <w:tcPr>
            <w:tcW w:w="3900" w:type="dxa"/>
            <w:vAlign w:val="bottom"/>
            <w:tcBorders>
              <w:bottom w:val="single" w:sz="8" w:color="auto"/>
            </w:tcBorders>
            <w:shd w:val="clear" w:color="auto" w:fill="F2F2F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05/05/2026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 short sale.</w:t>
      </w:r>
    </w:p>
    <w:p>
      <w:pPr>
        <w:spacing w:after="0" w:line="206" w:lineRule="exact"/>
        <w:rPr>
          <w:sz w:val="20"/>
          <w:szCs w:val="20"/>
          <w:color w:val="auto"/>
        </w:rPr>
      </w:pPr>
    </w:p>
    <w:p>
      <w:pPr>
        <w:jc w:val="both"/>
        <w:ind w:right="160" w:firstLine="8"/>
        <w:spacing w:after="0" w:line="239"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purchased in multiple transactions at prices ranging from $4.85 to $5.235, inclusive. The Reporting Persons undertake to provide to the staff of the Securities and Exchange Commission, upon request, full information regarding the number of shares purchased or sold, as applicable, at each separate price within the ranges set forth in footnotes (1) – (24) and (26).</w:t>
      </w:r>
    </w:p>
    <w:p>
      <w:pPr>
        <w:spacing w:after="0" w:line="180" w:lineRule="exact"/>
        <w:rPr>
          <w:rFonts w:ascii="Times New Roman" w:cs="Times New Roman" w:eastAsia="Times New Roman" w:hAnsi="Times New Roman"/>
          <w:sz w:val="22"/>
          <w:szCs w:val="22"/>
          <w:color w:val="auto"/>
        </w:rPr>
      </w:pPr>
    </w:p>
    <w:p>
      <w:pPr>
        <w:ind w:right="180" w:firstLine="8"/>
        <w:spacing w:after="0" w:line="258"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$4.86 to $4.96, inclusive.</w:t>
      </w:r>
    </w:p>
    <w:p>
      <w:pPr>
        <w:sectPr>
          <w:pgSz w:w="11900" w:h="16838" w:orient="portrait"/>
          <w:cols w:equalWidth="0" w:num="1">
            <w:col w:w="11240"/>
          </w:cols>
          <w:pgMar w:left="320" w:top="351" w:right="339" w:bottom="38" w:gutter="0" w:footer="0" w:header="0"/>
        </w:sectPr>
      </w:pPr>
    </w:p>
    <w:bookmarkStart w:id="8" w:name="page9"/>
    <w:bookmarkEnd w:id="8"/>
    <w:p>
      <w:pPr>
        <w:ind w:right="100" w:firstLine="8"/>
        <w:spacing w:after="0" w:line="259"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$4.86 to $5.20, inclusive.</w:t>
      </w:r>
    </w:p>
    <w:p>
      <w:pPr>
        <w:spacing w:after="0" w:line="156" w:lineRule="exact"/>
        <w:rPr>
          <w:rFonts w:ascii="Times New Roman" w:cs="Times New Roman" w:eastAsia="Times New Roman" w:hAnsi="Times New Roman"/>
          <w:sz w:val="22"/>
          <w:szCs w:val="22"/>
          <w:color w:val="auto"/>
        </w:rPr>
      </w:pPr>
    </w:p>
    <w:p>
      <w:pPr>
        <w:ind w:right="100" w:firstLine="8"/>
        <w:spacing w:after="0" w:line="258"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$5.16 to $5.25, inclusive.</w:t>
      </w:r>
    </w:p>
    <w:p>
      <w:pPr>
        <w:spacing w:after="0" w:line="158" w:lineRule="exact"/>
        <w:rPr>
          <w:rFonts w:ascii="Times New Roman" w:cs="Times New Roman" w:eastAsia="Times New Roman" w:hAnsi="Times New Roman"/>
          <w:sz w:val="22"/>
          <w:szCs w:val="22"/>
          <w:color w:val="auto"/>
        </w:rPr>
      </w:pPr>
    </w:p>
    <w:p>
      <w:pPr>
        <w:ind w:right="100" w:firstLine="8"/>
        <w:spacing w:after="0" w:line="258"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$5.12 to $5.15, inclusive.</w:t>
      </w:r>
    </w:p>
    <w:p>
      <w:pPr>
        <w:spacing w:after="0" w:line="15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$4.7147.</w:t>
      </w:r>
    </w:p>
    <w:p>
      <w:pPr>
        <w:spacing w:after="0" w:line="206" w:lineRule="exact"/>
        <w:rPr>
          <w:rFonts w:ascii="Times New Roman" w:cs="Times New Roman" w:eastAsia="Times New Roman" w:hAnsi="Times New Roman"/>
          <w:sz w:val="22"/>
          <w:szCs w:val="22"/>
          <w:color w:val="auto"/>
        </w:rPr>
      </w:pPr>
    </w:p>
    <w:p>
      <w:pPr>
        <w:ind w:right="100" w:firstLine="8"/>
        <w:spacing w:after="0" w:line="258"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$4.42 to $4.61, inclusive.</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$4.515 to $4.52, inclusive.</w:t>
      </w:r>
    </w:p>
    <w:p>
      <w:pPr>
        <w:spacing w:after="0" w:line="15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$6.46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$6.58, inclusive.</w:t>
      </w:r>
    </w:p>
    <w:p>
      <w:pPr>
        <w:spacing w:after="0" w:line="182" w:lineRule="exact"/>
        <w:rPr>
          <w:sz w:val="20"/>
          <w:szCs w:val="20"/>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$6.53 to $6.635, inclusive.</w:t>
      </w:r>
    </w:p>
    <w:p>
      <w:pPr>
        <w:spacing w:after="0" w:line="158" w:lineRule="exact"/>
        <w:rPr>
          <w:rFonts w:ascii="Times New Roman" w:cs="Times New Roman" w:eastAsia="Times New Roman" w:hAnsi="Times New Roman"/>
          <w:sz w:val="22"/>
          <w:szCs w:val="22"/>
          <w:color w:val="auto"/>
        </w:rPr>
      </w:pPr>
    </w:p>
    <w:p>
      <w:pPr>
        <w:ind w:right="220" w:firstLine="8"/>
        <w:spacing w:after="0" w:line="258" w:lineRule="auto"/>
        <w:tabs>
          <w:tab w:leader="none" w:pos="40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$6.25 to $6.295,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$6.30 to $6.31,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$6.27 to $6.37,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$6.30 to $6.33,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$6.27 to $6.38,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$6.27 to $6.34,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$6.30 to $6.31,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$6.33 to $6.39,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$6.42 to $6.45,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$6.56 to $6.58,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$6.45 to $6.455,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$6.34 to $6.41,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$6.38 to $6.43, inclusive.</w:t>
      </w:r>
    </w:p>
    <w:p>
      <w:pPr>
        <w:spacing w:after="0" w:line="158" w:lineRule="exact"/>
        <w:rPr>
          <w:rFonts w:ascii="Times New Roman" w:cs="Times New Roman" w:eastAsia="Times New Roman" w:hAnsi="Times New Roman"/>
          <w:sz w:val="22"/>
          <w:szCs w:val="22"/>
          <w:color w:val="auto"/>
        </w:rPr>
      </w:pPr>
    </w:p>
    <w:p>
      <w:pPr>
        <w:ind w:right="20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price is a weighted average price. These shares were sold in multiple transactions at prices ranging from $6.40 to $6.405, inclusive.</w:t>
      </w:r>
    </w:p>
    <w:p>
      <w:pPr>
        <w:spacing w:after="0" w:line="158" w:lineRule="exact"/>
        <w:rPr>
          <w:rFonts w:ascii="Times New Roman" w:cs="Times New Roman" w:eastAsia="Times New Roman" w:hAnsi="Times New Roman"/>
          <w:sz w:val="22"/>
          <w:szCs w:val="22"/>
          <w:color w:val="auto"/>
        </w:rPr>
      </w:pPr>
    </w:p>
    <w:p>
      <w:pPr>
        <w:ind w:right="440"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was the result of a closing of an open short sale position from inventory, which may be deemed to have occurred at the reported price.</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4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is a weighted average price. These shares were sold in multiple transactions at prices ranging from $5.15 to $5.48, inclusive.</w:t>
      </w:r>
    </w:p>
    <w:p>
      <w:pPr>
        <w:sectPr>
          <w:pgSz w:w="11900" w:h="16838" w:orient="portrait"/>
          <w:cols w:equalWidth="0" w:num="1">
            <w:col w:w="11160"/>
          </w:cols>
          <w:pgMar w:left="320" w:top="111" w:right="419" w:bottom="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2026-05-15T20:44:29Z</dcterms:created>
  <dcterms:modified xsi:type="dcterms:W3CDTF">2026-05-15T20:44:29Z</dcterms:modified>
</cp:coreProperties>
</file>